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86" w:rsidRPr="00457B5C" w:rsidRDefault="00C45686" w:rsidP="00457B5C">
      <w:pPr>
        <w:pStyle w:val="Title"/>
        <w:spacing w:before="120" w:after="120"/>
        <w:jc w:val="both"/>
        <w:rPr>
          <w:b w:val="0"/>
          <w:sz w:val="28"/>
          <w:lang w:val="en-US"/>
        </w:rPr>
      </w:pPr>
    </w:p>
    <w:p w:rsidR="00C45686" w:rsidRDefault="00C45686" w:rsidP="00C45686">
      <w:pPr>
        <w:pStyle w:val="Title"/>
        <w:spacing w:before="120" w:after="120"/>
        <w:ind w:firstLine="720"/>
        <w:rPr>
          <w:sz w:val="28"/>
        </w:rPr>
      </w:pPr>
      <w:r>
        <w:rPr>
          <w:sz w:val="28"/>
        </w:rPr>
        <w:t xml:space="preserve">ИЗПОЛЗВАНЕТО НА </w:t>
      </w:r>
    </w:p>
    <w:p w:rsidR="00C45686" w:rsidRDefault="00C45686" w:rsidP="00C45686">
      <w:pPr>
        <w:pStyle w:val="Title"/>
        <w:spacing w:before="120" w:after="120"/>
        <w:ind w:firstLine="720"/>
        <w:rPr>
          <w:sz w:val="28"/>
        </w:rPr>
      </w:pPr>
      <w:r>
        <w:rPr>
          <w:sz w:val="28"/>
        </w:rPr>
        <w:t xml:space="preserve">СПЕЦИАЛНИТЕ РАЗУЗНАВАТЕЛНИ СРЕДСТВА </w:t>
      </w:r>
    </w:p>
    <w:p w:rsidR="00C45686" w:rsidRDefault="00C45686" w:rsidP="00C45686">
      <w:pPr>
        <w:pStyle w:val="Title"/>
        <w:spacing w:before="120" w:after="120"/>
        <w:ind w:firstLine="720"/>
        <w:rPr>
          <w:sz w:val="28"/>
        </w:rPr>
      </w:pPr>
      <w:r>
        <w:rPr>
          <w:sz w:val="28"/>
        </w:rPr>
        <w:t>И МЕЖДУНАРОДНОТО ПРАВО</w:t>
      </w:r>
    </w:p>
    <w:p w:rsidR="00C45686" w:rsidRDefault="00C45686" w:rsidP="00C45686">
      <w:pPr>
        <w:pStyle w:val="Title"/>
        <w:spacing w:before="120" w:after="120"/>
        <w:ind w:firstLine="720"/>
        <w:rPr>
          <w:b w:val="0"/>
          <w:sz w:val="28"/>
        </w:rPr>
      </w:pPr>
      <w:r>
        <w:rPr>
          <w:b w:val="0"/>
          <w:sz w:val="28"/>
        </w:rPr>
        <w:t>Полк. Христо Величков</w:t>
      </w:r>
    </w:p>
    <w:p w:rsidR="00C45686" w:rsidRPr="00457B5C" w:rsidRDefault="00C45686" w:rsidP="00457B5C">
      <w:pPr>
        <w:pStyle w:val="Title"/>
        <w:spacing w:before="120" w:after="120"/>
        <w:jc w:val="both"/>
        <w:rPr>
          <w:b w:val="0"/>
          <w:sz w:val="28"/>
          <w:lang w:val="en-US"/>
        </w:rPr>
      </w:pPr>
    </w:p>
    <w:p w:rsidR="00C45686" w:rsidRDefault="00C45686" w:rsidP="00C45686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По повод периодично възникващите  в последно години скандали с използуването на “специалните разузнавателни средства” /СРС/, както и даваните от различни компетентни и не чак толкова компетентни лица обяснения, както в обвинителен, така и в оправдателен аспект, е наложителна една по-задълбочена оценка и анализ както на самият закон за СРС, така  и на практиката за неговото приложение. </w:t>
      </w:r>
    </w:p>
    <w:p w:rsidR="00C45686" w:rsidRDefault="00C45686" w:rsidP="00C45686">
      <w:pPr>
        <w:pStyle w:val="Title"/>
        <w:tabs>
          <w:tab w:val="left" w:pos="1440"/>
        </w:tabs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С подобни закони, при определени условия,  се ограничават временно правата и свободите на гражданите. Тези ограничения се прилагат  при съблюдаване  принципа на “крайната необходимост”, в отделни случай, когато възниква нужда  от защита на демократичните институти на обществото и с други средства е невъзможно или крайно затруднително осъществяването на тази защита. В същото време в закона следва да има адекватни и ефективни гаранции против злоупотреба и недопускане на произволно и необосновано  ограничаване декларираните в международното право права и основни свободи на човека. 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Правото на конфеденциалност на личния живот е било прието в международното право през 1948 г. от Всеобщата декларация на ООН по правата на човека и през 1950 г. от Европейската Конвенция по защита правата на човека и основните свободи. 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Член 12 от Всеобщата декларация гласи: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>“Никой не може да бъде подлаган на произволно вмешателство в неговия личен и семеен живот, на произволно посегателство на неприкосновеността на неговото жилище, тайната на неговата кореспонденция или на неговата чест и добро име. Всеки човек има право на законова защита от такова вмешателство или посегателство”.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>Европейската Конвенция определя тези права още по-ясно в чл.8: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“1. Всеки има право на зачитане на неговия личен и семеен живот, на неговото жилище и тайната на неговата кореспонденция. 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 2. Не се допуска вмешателство на държавните органи в осъществяването на това право, с изключение на случаите, когато това е предвидено със закон и е необходимо в демократическото общество в интерес на защита на националната сигурност и обществения ред или икономическото благосъстояние на страната, за предотвратяване на безредици или </w:t>
      </w:r>
      <w:r>
        <w:rPr>
          <w:b w:val="0"/>
          <w:sz w:val="28"/>
        </w:rPr>
        <w:lastRenderedPageBreak/>
        <w:t>престъпления, за защита на здравето и морала или правата и свободите на други лица".</w:t>
      </w:r>
    </w:p>
    <w:p w:rsidR="00C45686" w:rsidRDefault="00C45686" w:rsidP="00C45686">
      <w:pPr>
        <w:pStyle w:val="BodyText2"/>
        <w:spacing w:before="120" w:after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Разглеждайки редица конкретни съдебни дела, свързани именно с използването на СРС и предполагаемото нарушение на чл.8 на Конвенцията, Европейския съд по правата на човека значително е стеснил кръга на тези твърде абстрактни изключения.  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Интересно е да се отбележи, че в едно от тези дела / “Класс и др. срещу ГФР”/ разгледано през 1978 г. истците твърдели, че “Допълнението </w:t>
      </w:r>
      <w:r>
        <w:rPr>
          <w:b w:val="0"/>
          <w:sz w:val="28"/>
          <w:lang w:val="en-US"/>
        </w:rPr>
        <w:t>G</w:t>
      </w:r>
      <w:r>
        <w:rPr>
          <w:b w:val="0"/>
          <w:sz w:val="28"/>
        </w:rPr>
        <w:t xml:space="preserve"> – 10” от 1968 г. към Германския Основен Закон, което разрешавало подслушване на телефонните разговори фактически противоречи на чл.8 от Конвенцията. Класс и др. признавали, че нямат основания да твърдят, че техните телефони се подслушват. По скоро те действат въз основа на принципа и “не признават “Допълнението” към Закона на това основание, че в него не се съдържа ясно изискване да бъдат уведомени лицата, чиито телефони са подслушвани, след като подслушването е приключило, и че в “Допълнението” не е предвидена възможност да се оспори в съда използването на тези мерки”. Всъщност  истците не оспорвали правата на демократичната държава да използва такива мерки за своя защита, но твърдели, че “Допълнението </w:t>
      </w:r>
      <w:r>
        <w:rPr>
          <w:b w:val="0"/>
          <w:sz w:val="28"/>
          <w:lang w:val="en-US"/>
        </w:rPr>
        <w:t>G</w:t>
      </w:r>
      <w:r>
        <w:rPr>
          <w:b w:val="0"/>
          <w:sz w:val="28"/>
        </w:rPr>
        <w:t xml:space="preserve"> – 10” не съдържа достатъчно предпазни мерки против възможни злоупотреби. Следователно, постановил Съда, “всяко лице може при определени условия, да се счита за жертва на закононарушение, състоящо се само в това, че съществуват секретни мерки или закон, допускащ такива мерки, даже в случаите, когато такива мерки спрямо него не са използвани”. Доколкото всяко лице може да бъде потенциална жертва на нарушения на чл.8 от Конвенцията, без да знае за това, то всяко лице в качеството на потърпевш може да обжалва такъв порядък в съда.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>По такъв начин Съда усилил действието на чл.8 от Конвенцията и уточнил смисъла на тази правна норма: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>ПЪРВО: Всяко наблюдение е длъжно да бъде провеждано “НА ОСНОВАНИЕ НА ЗАКОН”;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>ВТОРО: Наблюдението се използва в случай на “НЕОБХОДИМОСТ ОТ ЗАЩИТА НА ДЕМОКРАТИЧНИТЕ ИНСТИТУТИ”;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ab/>
        <w:t>ТРЕТО:  Всяка система за наблюдение е длъжна да включва “АДЕКВАТНИ И ЕФЕКТИВНИ ГАРАНЦИИ ПРОТИВ ЗЛОУПОТРЕБА”.</w:t>
      </w:r>
    </w:p>
    <w:p w:rsidR="00C45686" w:rsidRDefault="00C45686" w:rsidP="00C45686">
      <w:pPr>
        <w:pStyle w:val="Title"/>
        <w:spacing w:before="120" w:after="120"/>
        <w:ind w:firstLine="1440"/>
        <w:jc w:val="both"/>
        <w:rPr>
          <w:b w:val="0"/>
          <w:sz w:val="28"/>
        </w:rPr>
      </w:pPr>
      <w:r>
        <w:rPr>
          <w:b w:val="0"/>
          <w:sz w:val="28"/>
        </w:rPr>
        <w:t>Развивайки по-нататък тези принципи Европейския съд по правата на човека е приел, че използуването на СРС не се считат за нарушение на чл. 8 от Конвенцията по защита правата на човека и основните свободи, когато се осъществяват :</w:t>
      </w:r>
    </w:p>
    <w:p w:rsidR="00C45686" w:rsidRDefault="00C45686" w:rsidP="00C45686">
      <w:pPr>
        <w:pStyle w:val="Title"/>
        <w:spacing w:before="120" w:after="120"/>
        <w:ind w:firstLine="1440"/>
        <w:jc w:val="both"/>
        <w:rPr>
          <w:b w:val="0"/>
          <w:sz w:val="28"/>
        </w:rPr>
      </w:pPr>
    </w:p>
    <w:p w:rsidR="00C45686" w:rsidRDefault="00C45686" w:rsidP="00C45686">
      <w:pPr>
        <w:pStyle w:val="Title"/>
        <w:spacing w:before="120" w:after="120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>І. На основание на закон: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Всяко проследяване/подслушване следва да се провежда в съответствие с действуващото национално законодателство, удовлетворяващо следните изисквания:</w:t>
      </w:r>
    </w:p>
    <w:p w:rsidR="00C45686" w:rsidRDefault="00C45686" w:rsidP="00C45686">
      <w:pPr>
        <w:pStyle w:val="Title"/>
        <w:tabs>
          <w:tab w:val="num" w:pos="360"/>
          <w:tab w:val="left" w:pos="1440"/>
        </w:tabs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“достъпност” – да се основава на писан или неписан закон. Гражданина трябва да има възможност да се убеди, че подслушването съответствува на законодателните норми, които са използувани в всеки конкретен случай” ;</w:t>
      </w:r>
    </w:p>
    <w:p w:rsidR="00C45686" w:rsidRDefault="00C45686" w:rsidP="00C45686">
      <w:pPr>
        <w:pStyle w:val="Title"/>
        <w:tabs>
          <w:tab w:val="num" w:pos="360"/>
        </w:tabs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“предсказуемост” – гражданина трябва да може /ако е необходимо – с помощта на адвокат/ да предвиди последствията от всяко възможно действие ;</w:t>
      </w:r>
    </w:p>
    <w:p w:rsidR="00C45686" w:rsidRDefault="00C45686" w:rsidP="00C45686">
      <w:pPr>
        <w:pStyle w:val="Title"/>
        <w:tabs>
          <w:tab w:val="num" w:pos="360"/>
        </w:tabs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“качество” – закона трябва да има адекватни и ефективни норми – гаранция срещу възможни злоупотреби;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  <w:lang w:val="en-US"/>
        </w:rPr>
      </w:pPr>
      <w:r>
        <w:rPr>
          <w:b w:val="0"/>
          <w:sz w:val="28"/>
        </w:rPr>
        <w:t>В частност това изискване към закона означава / нарочно са пропуснати изискуеми от Европейския съд условия, които се покриват напълно с нормите на българския закон за СРС/: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3.1.</w:t>
      </w:r>
      <w:r>
        <w:rPr>
          <w:b w:val="0"/>
          <w:sz w:val="28"/>
        </w:rPr>
        <w:tab/>
        <w:t>Наличие на изчерпващ списък на престъпленията, при разследването, на които може да бъде  разрешено използуването на специалното разузнавателно средство;</w:t>
      </w:r>
    </w:p>
    <w:p w:rsidR="00C45686" w:rsidRDefault="00C45686" w:rsidP="00C45686">
      <w:pPr>
        <w:pStyle w:val="BodyTextIndent"/>
        <w:spacing w:before="120" w:after="120"/>
        <w:ind w:firstLine="720"/>
      </w:pPr>
      <w:r>
        <w:t xml:space="preserve">Прилагателни от типа”тежки” за престъпления към този закон не могат да се приемат като изчерпващ списък, даже в друг закон да има точно определение за “тежко престъпление”, т.к. в различно време по различни причини списъка на престъпленията, вече определени за “тежки” може да бъде увеличаван или намаляван, което автоматически довежда до промени и в закона за СРС. </w:t>
      </w:r>
    </w:p>
    <w:p w:rsidR="00C45686" w:rsidRDefault="00C45686" w:rsidP="00C45686">
      <w:pPr>
        <w:pStyle w:val="BodyText3"/>
        <w:spacing w:before="120" w:after="120"/>
        <w:ind w:firstLine="720"/>
        <w:jc w:val="both"/>
      </w:pPr>
      <w:r>
        <w:t>3.2.</w:t>
      </w:r>
      <w:r>
        <w:tab/>
        <w:t>Използуването на СРС  е позволено само в случаите, когато съществуват фактически свидетелства, че даденото лице е замесено в  престъпления, изчерпателно посочени в закона;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Голословни твърдения, както и сведения от “надеждни информатори” без да са проверени и да е доказано, че са верни не може да се приемат  за фактически свидетелства. Федералния закон на САЩ предвижда съдебно разглеждане на искането за провеждане на СРС “</w:t>
      </w:r>
      <w:r>
        <w:rPr>
          <w:b w:val="0"/>
          <w:sz w:val="28"/>
          <w:lang w:val="en-US"/>
        </w:rPr>
        <w:t>ex parti</w:t>
      </w:r>
      <w:r>
        <w:rPr>
          <w:b w:val="0"/>
          <w:sz w:val="28"/>
        </w:rPr>
        <w:t>”  - в присъствието на едната страна, представлявана от отговорния за СРС служител от оперативната служба, който дава показания под клетва, в т.ч. и относно обосновката за СРС или подписва декларация, в която потвърждава, че е предупреден за даване на невярна информация.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3.3.</w:t>
      </w:r>
      <w:r>
        <w:rPr>
          <w:b w:val="0"/>
          <w:sz w:val="28"/>
        </w:rPr>
        <w:tab/>
        <w:t xml:space="preserve">Закона може да санкционира подслушване само на основание на мотивирано писмено заявление от определено високо поставено длъжностно лице. В Американския федерален закон искането се подписва от съответния прокурор, а мотивите за самото искане от съответния началник на оперативната служба 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3.4.</w:t>
      </w:r>
      <w:r>
        <w:rPr>
          <w:b w:val="0"/>
          <w:sz w:val="28"/>
        </w:rPr>
        <w:tab/>
        <w:t>Закона  разрешава провеждането на подслушване само след получаването на санкция от орган или длъжностно лице което не принадлежи към изпълнителната власт, желателно е това да е съдия ;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В повечето национални законодателства съдия разрешава провеждането на СРС.</w:t>
      </w:r>
      <w:r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Преди издаване на разрешението съдията следва да направи определени заключения.: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а/ да установи, че “обичайните” методи за разследване са били изпробвани, но не са дали резултат или че е малко вероятно те да бъдат полезни, или че са твърде опасни за използуване.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б/ да установи, че са налице обосновани причини да се счита, че лицата, които ще са обект на СРС са извършили, извършват или ще извършат престъпленията, които са указани в искането.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в/ да постанови, че  има обосновани причини да се счита, че ще бъде прихваната информация именно за тези престъпления.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Изискването за обоснована причина, се явява ключов компонент на закона и по същество представлява изискване на  конституционно ниво.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3.5.  Да има ограничение на продължителността на подслушването, т.е.  следва да бъде указан периода, в течение на който санкцията за подслушване е действителна. Счита се , че срокът за продължителност не следва да превишава 30 дни. При нужда от продължение, отново до 30 дни, като цялата процедура се повтаря. В изключителни случаи се допуска непрекъснато провеждане на СРС да продължи до 90 дни.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3.6. Да ограничава подслушване, както и използуването на получената информация, на разговори на заподозрения  с неговият адвокат, свещеник  или лекар, а така също с лица, които се ползуват с личен имунитет или такъв за информаторите му /когато става въпрос за журналисти/. Установяването на факта, че подобни лица са станали обект на подслушването е основание за незабавното му прекратяване и унищожаване на материалите, освен в случаите когато има данни, че тези лица имат непосредствено отношение към  замислено, подготвяно, извършващо се или извършено тежко</w:t>
      </w:r>
      <w:r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престъпление. Подобно изискване има в голяма част от националните законодателства.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3.7.  Да определя правилата за съставяне на междинните отчети и крайния доклад за получената от СРС информация. В националните законодателства, признати от Европейския съд, са регламентирани, освен крайния доклад, изготвян непосредствено след приключване провеждането на мероприятието с използване на СРС и съставянето на междинни отчети за постигнатото от използването на  СРС, на всеки 10 дена, които се представят на съдията разрешил използуването на СРС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3.8. Да съдържа гаранции съдът да получи записите от подслушването без поправки и други корекции. Незабавно след приключване използуването на СРС, на съдията утвърдил искането за СРС, се предоставя оргинала на материалния носител на получената информация за запечатване и съхранение съгласно разпореждането на съда. Това се прави с оглед да се обезпечи надежност и цялостност на прихванатата информация и, да се отстранят или сведат до минимум възможностите за злоумишлени промени.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3.9.  Да предвижда мерки, които да не допускат обмена на материали от подслушването между различни държавни органи. Допуска се обмен на информация получена посредством СРС само в случаите, касаещи престъпления изрично посочени в закона, когато разследването им е от компетентност на друга служба.</w:t>
      </w:r>
    </w:p>
    <w:p w:rsidR="00C45686" w:rsidRDefault="00C45686" w:rsidP="00C45686">
      <w:pPr>
        <w:jc w:val="both"/>
        <w:rPr>
          <w:sz w:val="28"/>
        </w:rPr>
      </w:pPr>
      <w:r>
        <w:rPr>
          <w:sz w:val="28"/>
        </w:rPr>
        <w:t xml:space="preserve">Да установява императивно изискване за уведомяване на подслушвания след приключване на мероприятието, а в случаите когато това може да навреди на разследването, в определен срок след неговото приключване. Когато досъдебното разследване приключи с обвинително заключение, задължително се предоставят на подследствения, в присъствието на адвоката му, всички материали от подслушването - от искането, въз основа на което е разрешено подслушването, до заключителния доклад. Изискването за уведомяване се явява една от най важните гаранции, че СРС са използувани в съответствие с  закона. Липсата на подобна норма в закона дава основание на гражданите – обекти на СРС, в качеството им на потърпевши, да атакуват такъв закон в Европейския съд. </w:t>
      </w:r>
    </w:p>
    <w:p w:rsidR="00C45686" w:rsidRDefault="00C45686" w:rsidP="00C45686">
      <w:pPr>
        <w:jc w:val="both"/>
        <w:rPr>
          <w:sz w:val="28"/>
        </w:rPr>
      </w:pPr>
    </w:p>
    <w:p w:rsidR="00C45686" w:rsidRDefault="00C45686" w:rsidP="00C45686">
      <w:pPr>
        <w:ind w:firstLine="720"/>
        <w:jc w:val="both"/>
        <w:rPr>
          <w:sz w:val="28"/>
        </w:rPr>
      </w:pPr>
      <w:r>
        <w:rPr>
          <w:sz w:val="28"/>
        </w:rPr>
        <w:t xml:space="preserve">3.11. Лицата със статут на обвиняеми могат да ходатайствуват пред съда за  изключването на част от съдържанието или резултатите от подслушването на основание на това,че: 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а) подслушването се е провеждало незаконно;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б) решението на съда,  разрешаващо подслушването е било необосновано;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в) подслушването не се е провеждало в съответствие с  конкретното разрешение. / Федерален закон за електронното проследяване САЩ/.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outlineLvl w:val="0"/>
        <w:rPr>
          <w:rFonts w:ascii="Times New Roman" w:hAnsi="Times New Roman"/>
          <w:sz w:val="28"/>
          <w:u w:val="single"/>
          <w:lang w:val="bg-BG"/>
        </w:rPr>
      </w:pPr>
    </w:p>
    <w:p w:rsidR="00C45686" w:rsidRDefault="00C45686" w:rsidP="00C45686">
      <w:pPr>
        <w:pStyle w:val="NormalWeb"/>
        <w:spacing w:before="120" w:after="120"/>
        <w:ind w:firstLine="720"/>
        <w:jc w:val="both"/>
        <w:outlineLvl w:val="0"/>
        <w:rPr>
          <w:rFonts w:ascii="Times New Roman" w:hAnsi="Times New Roman"/>
          <w:sz w:val="28"/>
          <w:u w:val="single"/>
          <w:lang w:val="bg-BG"/>
        </w:rPr>
      </w:pP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u w:val="single"/>
          <w:lang w:val="bg-BG"/>
        </w:rPr>
      </w:pPr>
      <w:r>
        <w:rPr>
          <w:rFonts w:ascii="Times New Roman" w:hAnsi="Times New Roman"/>
          <w:sz w:val="28"/>
          <w:u w:val="single"/>
          <w:lang w:val="bg-BG"/>
        </w:rPr>
        <w:t>ІІ. Като необходимо в демократичното общество.</w:t>
      </w:r>
    </w:p>
    <w:p w:rsidR="00C45686" w:rsidRDefault="00C45686" w:rsidP="00C45686">
      <w:pPr>
        <w:pStyle w:val="NormalWeb"/>
        <w:numPr>
          <w:ilvl w:val="0"/>
          <w:numId w:val="2"/>
        </w:numPr>
        <w:spacing w:before="120" w:after="120"/>
        <w:ind w:left="0"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само в границите необходими за безопасността на демократичните институти ;</w:t>
      </w:r>
    </w:p>
    <w:p w:rsidR="00C45686" w:rsidRDefault="00C45686" w:rsidP="00C45686">
      <w:pPr>
        <w:pStyle w:val="NormalWeb"/>
        <w:numPr>
          <w:ilvl w:val="0"/>
          <w:numId w:val="2"/>
        </w:numPr>
        <w:spacing w:before="120" w:after="120"/>
        <w:ind w:left="0"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при изключителни условия необходими в демократичното общество за защита  интересите на националната безопасност и/или предотвратяване на масови безредици или престъпления ;</w:t>
      </w:r>
    </w:p>
    <w:p w:rsidR="00C45686" w:rsidRDefault="00C45686" w:rsidP="00C45686">
      <w:pPr>
        <w:pStyle w:val="NormalWeb"/>
        <w:numPr>
          <w:ilvl w:val="0"/>
          <w:numId w:val="3"/>
        </w:numPr>
        <w:spacing w:before="120" w:after="120"/>
        <w:ind w:left="0"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използуваното в практиката понятие “хронометраж” /списък на телефонните номера/ също така попада под определението “кореспонденция” .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u w:val="single"/>
          <w:lang w:val="bg-BG"/>
        </w:rPr>
      </w:pP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u w:val="single"/>
          <w:lang w:val="bg-BG"/>
        </w:rPr>
      </w:pPr>
      <w:r>
        <w:rPr>
          <w:rFonts w:ascii="Times New Roman" w:hAnsi="Times New Roman"/>
          <w:sz w:val="28"/>
          <w:u w:val="single"/>
          <w:lang w:val="bg-BG"/>
        </w:rPr>
        <w:t>ІІІ. Основавайки се на разгледаните по-горе принципи, Европейският съд дава и определение за потърпевш/жертва: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Всяко лице в страна, където действа положение за тайно подслушване, може да изисква да бъде признато за потърпевш/жертва без каквито и да било задължения да дава доказателства, че е подслушвано, дори  на  основание на </w:t>
      </w:r>
      <w:r>
        <w:rPr>
          <w:rFonts w:ascii="Times New Roman" w:hAnsi="Times New Roman"/>
          <w:sz w:val="28"/>
        </w:rPr>
        <w:lastRenderedPageBreak/>
        <w:t xml:space="preserve">голословно твърдение, че следенето/подслушването действително се е провеждало в нарушение на неговите права и основни свободи.  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Анализа на разгледаните по-горе принципи и условия, които международното право предявява спрямо националните законодателства, регламентиращи приложението на СРС и използуването на получената чрез тях информация, дава основание да се направят два генерални извода:</w:t>
      </w:r>
    </w:p>
    <w:p w:rsidR="00C45686" w:rsidRDefault="00C45686" w:rsidP="00C45686">
      <w:pPr>
        <w:pStyle w:val="NormalWeb"/>
        <w:numPr>
          <w:ilvl w:val="0"/>
          <w:numId w:val="4"/>
        </w:numPr>
        <w:spacing w:before="120" w:after="120"/>
        <w:ind w:left="0"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Българският Закон за СРС се нуждае от едно ново, по-задълбочено разглеждане и корегиране, ако искаме да  съответствува  на духа и нормите на международното право в тази област.</w:t>
      </w:r>
    </w:p>
    <w:p w:rsidR="00C45686" w:rsidRDefault="00C45686" w:rsidP="00C45686">
      <w:pPr>
        <w:pStyle w:val="NormalWeb"/>
        <w:numPr>
          <w:ilvl w:val="0"/>
          <w:numId w:val="4"/>
        </w:numPr>
        <w:spacing w:before="120" w:after="120"/>
        <w:ind w:left="0"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При сега действуващото законодателство не само, че не може да се обезпечат адекватни и ефективни гаранции срещу злоупотреби, но със сигурност следва да предвидим нови скандали, със значително по сериозни последствия.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И накрая,  предвиждам първата реакция на служителите от полицията и преди всичко на тези със все още недостатъчено професионален опит, както и на тези на най-високо професионално ниво,   че отново се защитават правата на престъпниците, спъва се работата по разобличаването им и се ограничават правата на потърпевшите от престъпления.  Бих посъветвал да не се правят прибързани изводи, а  отговорните служители да направят анализ на случаите, при които полицията е ползвала СРС и да установят:</w:t>
      </w:r>
    </w:p>
    <w:p w:rsidR="00C45686" w:rsidRDefault="00C45686" w:rsidP="00C45686">
      <w:pPr>
        <w:pStyle w:val="NormalWeb"/>
        <w:numPr>
          <w:ilvl w:val="0"/>
          <w:numId w:val="5"/>
        </w:numPr>
        <w:tabs>
          <w:tab w:val="clear" w:pos="360"/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Какъв е процента на разкритите непосредствено чрез СРС престъпления, по сравнение с общия брой на разкритите престъпления; и </w:t>
      </w:r>
    </w:p>
    <w:p w:rsidR="00C45686" w:rsidRDefault="00C45686" w:rsidP="00C45686">
      <w:pPr>
        <w:pStyle w:val="NormalWeb"/>
        <w:numPr>
          <w:ilvl w:val="0"/>
          <w:numId w:val="5"/>
        </w:numPr>
        <w:tabs>
          <w:tab w:val="clear" w:pos="360"/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Какъв е процента на разкритите престъпления, при които са ползвани СРС, независимо от резултатите, спрямо общият брой на разкритите престъпления. </w:t>
      </w:r>
    </w:p>
    <w:p w:rsidR="00C45686" w:rsidRDefault="00C45686" w:rsidP="00C45686">
      <w:pPr>
        <w:pStyle w:val="NormalWeb"/>
        <w:spacing w:before="120" w:after="120"/>
        <w:ind w:firstLine="72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Опитът на българската полиция /който е натрупан не  само през последните десетина години/, както и опитът на другите полицейски служби показва, че СРС не са единствено и най-важно средство за разкриване на престъпления, т.е. за издирване и по надлежният ред закрепване на доказателства за вината на извършителите на престъпни деяния. Те са  допълнително средство, когато няма друга възможност, да се уточнят някои детайли в престъпните действия установени чрез богатия арсенал от средства и методи, които предоставят наказателният процес и агентурно-оперативната практика. Тези средства и методи, обаче, са предмет на друга, отделна тема за обсъждане.</w:t>
      </w: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</w:p>
    <w:p w:rsidR="00C45686" w:rsidRDefault="00C45686" w:rsidP="00C45686">
      <w:pPr>
        <w:pStyle w:val="Title"/>
        <w:spacing w:before="120" w:after="120"/>
        <w:ind w:firstLine="720"/>
        <w:jc w:val="both"/>
        <w:rPr>
          <w:b w:val="0"/>
          <w:sz w:val="28"/>
        </w:rPr>
      </w:pPr>
    </w:p>
    <w:p w:rsidR="00C45686" w:rsidRDefault="00C45686"/>
    <w:sectPr w:rsidR="00C45686" w:rsidSect="007812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561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F6" w:rsidRDefault="002B7BF6" w:rsidP="00C45686">
      <w:r>
        <w:separator/>
      </w:r>
    </w:p>
  </w:endnote>
  <w:endnote w:type="continuationSeparator" w:id="0">
    <w:p w:rsidR="002B7BF6" w:rsidRDefault="002B7BF6" w:rsidP="00C4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10 Win95B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37" w:rsidRDefault="008B66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93B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537" w:rsidRDefault="0036453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37" w:rsidRDefault="008B66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93B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2A6">
      <w:rPr>
        <w:rStyle w:val="PageNumber"/>
        <w:noProof/>
      </w:rPr>
      <w:t>7</w:t>
    </w:r>
    <w:r>
      <w:rPr>
        <w:rStyle w:val="PageNumber"/>
      </w:rPr>
      <w:fldChar w:fldCharType="end"/>
    </w:r>
  </w:p>
  <w:p w:rsidR="00364537" w:rsidRDefault="0036453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F6" w:rsidRDefault="002B7BF6" w:rsidP="00C45686">
      <w:r>
        <w:separator/>
      </w:r>
    </w:p>
  </w:footnote>
  <w:footnote w:type="continuationSeparator" w:id="0">
    <w:p w:rsidR="002B7BF6" w:rsidRDefault="002B7BF6" w:rsidP="00C45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37" w:rsidRDefault="008B66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B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BBC">
      <w:rPr>
        <w:rStyle w:val="PageNumber"/>
      </w:rPr>
      <w:t>13</w:t>
    </w:r>
    <w:r>
      <w:rPr>
        <w:rStyle w:val="PageNumber"/>
      </w:rPr>
      <w:fldChar w:fldCharType="end"/>
    </w:r>
  </w:p>
  <w:p w:rsidR="00364537" w:rsidRDefault="0036453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37" w:rsidRDefault="0036453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099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96BF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C7464E"/>
    <w:multiLevelType w:val="singleLevel"/>
    <w:tmpl w:val="9FE80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4ED291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95343CF"/>
    <w:multiLevelType w:val="singleLevel"/>
    <w:tmpl w:val="1AF233F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86"/>
    <w:rsid w:val="000271FD"/>
    <w:rsid w:val="00046A7B"/>
    <w:rsid w:val="001B1B23"/>
    <w:rsid w:val="002B7BF6"/>
    <w:rsid w:val="003054CE"/>
    <w:rsid w:val="00362107"/>
    <w:rsid w:val="00364537"/>
    <w:rsid w:val="00432A88"/>
    <w:rsid w:val="00457B5C"/>
    <w:rsid w:val="00507E7B"/>
    <w:rsid w:val="00531B42"/>
    <w:rsid w:val="005759B1"/>
    <w:rsid w:val="00577B04"/>
    <w:rsid w:val="00667138"/>
    <w:rsid w:val="007812A6"/>
    <w:rsid w:val="008B6620"/>
    <w:rsid w:val="00A53441"/>
    <w:rsid w:val="00AF4929"/>
    <w:rsid w:val="00B303FB"/>
    <w:rsid w:val="00C45686"/>
    <w:rsid w:val="00D53DDE"/>
    <w:rsid w:val="00DD3FA5"/>
    <w:rsid w:val="00E36259"/>
    <w:rsid w:val="00F9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56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4568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PageNumber">
    <w:name w:val="page number"/>
    <w:basedOn w:val="DefaultParagraphFont"/>
    <w:semiHidden/>
    <w:rsid w:val="00C45686"/>
  </w:style>
  <w:style w:type="paragraph" w:styleId="Title">
    <w:name w:val="Title"/>
    <w:basedOn w:val="Normal"/>
    <w:link w:val="TitleChar"/>
    <w:qFormat/>
    <w:rsid w:val="00C45686"/>
    <w:pPr>
      <w:ind w:right="-1"/>
      <w:jc w:val="center"/>
    </w:pPr>
    <w:rPr>
      <w:b/>
      <w:sz w:val="40"/>
      <w:lang w:val="bg-BG"/>
    </w:rPr>
  </w:style>
  <w:style w:type="character" w:customStyle="1" w:styleId="TitleChar">
    <w:name w:val="Title Char"/>
    <w:basedOn w:val="DefaultParagraphFont"/>
    <w:link w:val="Title"/>
    <w:rsid w:val="00C45686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FootnoteText">
    <w:name w:val="footnote text"/>
    <w:basedOn w:val="Normal"/>
    <w:link w:val="FootnoteTextChar"/>
    <w:semiHidden/>
    <w:rsid w:val="00C45686"/>
  </w:style>
  <w:style w:type="character" w:customStyle="1" w:styleId="FootnoteTextChar">
    <w:name w:val="Footnote Text Char"/>
    <w:basedOn w:val="DefaultParagraphFont"/>
    <w:link w:val="FootnoteText"/>
    <w:semiHidden/>
    <w:rsid w:val="00C4568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FootnoteReference">
    <w:name w:val="footnote reference"/>
    <w:basedOn w:val="DefaultParagraphFont"/>
    <w:semiHidden/>
    <w:rsid w:val="00C45686"/>
    <w:rPr>
      <w:vertAlign w:val="superscript"/>
    </w:rPr>
  </w:style>
  <w:style w:type="paragraph" w:styleId="Footer">
    <w:name w:val="footer"/>
    <w:basedOn w:val="Normal"/>
    <w:link w:val="FooterChar"/>
    <w:semiHidden/>
    <w:rsid w:val="00C45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568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NormalWeb">
    <w:name w:val="Normal (Web)"/>
    <w:basedOn w:val="Normal"/>
    <w:rsid w:val="00C45686"/>
    <w:pPr>
      <w:spacing w:before="100" w:after="100"/>
    </w:pPr>
    <w:rPr>
      <w:rFonts w:ascii="TimokU" w:hAnsi="TimokU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C45686"/>
    <w:pPr>
      <w:jc w:val="both"/>
    </w:pPr>
    <w:rPr>
      <w:rFonts w:ascii="Courier10 Win95BT Cyr" w:hAnsi="Courier10 Win95BT Cyr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C45686"/>
    <w:rPr>
      <w:rFonts w:ascii="Courier10 Win95BT Cyr" w:eastAsia="Times New Roman" w:hAnsi="Courier10 Win95BT Cyr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C45686"/>
    <w:pPr>
      <w:ind w:firstLine="36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45686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3">
    <w:name w:val="Body Text 3"/>
    <w:basedOn w:val="Normal"/>
    <w:link w:val="BodyText3Char"/>
    <w:rsid w:val="00C45686"/>
    <w:rPr>
      <w:sz w:val="28"/>
      <w:lang w:val="bg-BG"/>
    </w:rPr>
  </w:style>
  <w:style w:type="character" w:customStyle="1" w:styleId="BodyText3Char">
    <w:name w:val="Body Text 3 Char"/>
    <w:basedOn w:val="DefaultParagraphFont"/>
    <w:link w:val="BodyText3"/>
    <w:rsid w:val="00C45686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A6AB-00B8-4267-83E2-4332ED77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dcterms:created xsi:type="dcterms:W3CDTF">2012-01-11T11:05:00Z</dcterms:created>
  <dcterms:modified xsi:type="dcterms:W3CDTF">2012-02-20T12:00:00Z</dcterms:modified>
</cp:coreProperties>
</file>